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CF" w:rsidRDefault="007532CF" w:rsidP="007532CF">
      <w:pPr>
        <w:jc w:val="both"/>
        <w:rPr>
          <w:lang w:val="es-CL"/>
        </w:rPr>
      </w:pPr>
      <w:r w:rsidRPr="00A86386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176530</wp:posOffset>
            </wp:positionV>
            <wp:extent cx="2524125" cy="1292860"/>
            <wp:effectExtent l="0" t="0" r="9525" b="2540"/>
            <wp:wrapSquare wrapText="bothSides"/>
            <wp:docPr id="4" name="pasted-image.jpe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149FAB-22E6-4DBA-85A3-C851843EA5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ted-image.jpe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149FAB-22E6-4DBA-85A3-C851843EA5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9286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="002F44C6">
        <w:rPr>
          <w:lang w:val="es-CL"/>
        </w:rPr>
        <w:br w:type="textWrapping" w:clear="all"/>
      </w:r>
    </w:p>
    <w:p w:rsidR="007532CF" w:rsidRDefault="007532CF" w:rsidP="007532CF">
      <w:pPr>
        <w:jc w:val="both"/>
        <w:rPr>
          <w:lang w:val="es-CL"/>
        </w:rPr>
      </w:pPr>
    </w:p>
    <w:p w:rsidR="00BD0BA6" w:rsidRDefault="00BD0BA6" w:rsidP="007532CF">
      <w:pPr>
        <w:jc w:val="center"/>
        <w:rPr>
          <w:b/>
          <w:lang w:val="es-CL"/>
        </w:rPr>
      </w:pPr>
    </w:p>
    <w:p w:rsidR="00BD0BA6" w:rsidRDefault="00BD0BA6" w:rsidP="007532CF">
      <w:pPr>
        <w:jc w:val="center"/>
        <w:rPr>
          <w:b/>
          <w:lang w:val="es-CL"/>
        </w:rPr>
      </w:pPr>
    </w:p>
    <w:p w:rsidR="00BD0BA6" w:rsidRDefault="00BD0BA6" w:rsidP="007532CF">
      <w:pPr>
        <w:jc w:val="center"/>
        <w:rPr>
          <w:b/>
          <w:lang w:val="es-CL"/>
        </w:rPr>
      </w:pPr>
    </w:p>
    <w:p w:rsidR="007532CF" w:rsidRPr="007532CF" w:rsidRDefault="007532CF" w:rsidP="007532CF">
      <w:pPr>
        <w:jc w:val="center"/>
        <w:rPr>
          <w:b/>
          <w:lang w:val="es-CL"/>
        </w:rPr>
      </w:pPr>
      <w:r w:rsidRPr="007532CF">
        <w:rPr>
          <w:b/>
          <w:lang w:val="es-CL"/>
        </w:rPr>
        <w:t>UNIVERSIDAD DEL BIO-BIO</w:t>
      </w:r>
    </w:p>
    <w:p w:rsidR="007532CF" w:rsidRDefault="006A107D" w:rsidP="007532CF">
      <w:pPr>
        <w:jc w:val="center"/>
        <w:rPr>
          <w:b/>
          <w:lang w:val="es-CL"/>
        </w:rPr>
      </w:pPr>
      <w:r w:rsidRPr="007532CF">
        <w:rPr>
          <w:b/>
          <w:lang w:val="es-CL"/>
        </w:rPr>
        <w:t>Unión de Escuelas y Facultades de Arquitectura de América Latina, UDEFAL</w:t>
      </w:r>
    </w:p>
    <w:p w:rsidR="007532CF" w:rsidRDefault="007532CF" w:rsidP="007532CF">
      <w:pPr>
        <w:jc w:val="center"/>
        <w:rPr>
          <w:b/>
          <w:lang w:val="es-CL"/>
        </w:rPr>
      </w:pPr>
    </w:p>
    <w:p w:rsidR="007532CF" w:rsidRPr="007532CF" w:rsidRDefault="007532CF" w:rsidP="007532CF">
      <w:pPr>
        <w:jc w:val="center"/>
        <w:rPr>
          <w:b/>
          <w:sz w:val="32"/>
          <w:lang w:val="es-CL"/>
        </w:rPr>
      </w:pPr>
      <w:r w:rsidRPr="007532CF">
        <w:rPr>
          <w:b/>
          <w:sz w:val="32"/>
          <w:lang w:val="es-CL"/>
        </w:rPr>
        <w:t>“MAS ALLA DE LA FRONTERA”</w:t>
      </w:r>
    </w:p>
    <w:p w:rsidR="007532CF" w:rsidRPr="00B53D60" w:rsidRDefault="007532CF" w:rsidP="00B53D60">
      <w:pPr>
        <w:jc w:val="center"/>
        <w:rPr>
          <w:b/>
          <w:lang w:val="es-CL"/>
        </w:rPr>
      </w:pPr>
      <w:r>
        <w:rPr>
          <w:b/>
          <w:lang w:val="es-CL"/>
        </w:rPr>
        <w:t>XXVII CLEFA,</w:t>
      </w:r>
      <w:r w:rsidRPr="007532CF">
        <w:rPr>
          <w:lang w:val="es-CL"/>
        </w:rPr>
        <w:t xml:space="preserve"> </w:t>
      </w:r>
      <w:r w:rsidRPr="007532CF">
        <w:rPr>
          <w:b/>
          <w:lang w:val="es-CL"/>
        </w:rPr>
        <w:t>Conferencia Latinoamericana de Escuelas y Facultades de Arquitectura</w:t>
      </w:r>
    </w:p>
    <w:p w:rsidR="00A54AE0" w:rsidRDefault="00A54AE0" w:rsidP="00D60E8F">
      <w:pPr>
        <w:jc w:val="both"/>
        <w:rPr>
          <w:lang w:val="es-CL"/>
        </w:rPr>
      </w:pPr>
    </w:p>
    <w:p w:rsidR="0067348A" w:rsidRDefault="00037CC6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EJES TEMATICOS DE PONENCIAS Y CONFERENCIAS MAGISTRALES</w:t>
      </w:r>
    </w:p>
    <w:p w:rsidR="00713F47" w:rsidRDefault="00BD0BA6" w:rsidP="007532CF">
      <w:pPr>
        <w:jc w:val="both"/>
        <w:rPr>
          <w:b/>
          <w:lang w:val="es-CL"/>
        </w:rPr>
      </w:pPr>
      <w:r>
        <w:rPr>
          <w:b/>
          <w:lang w:val="es-CL"/>
        </w:rPr>
        <w:t>Los académicos y profesionales que deseen presentar trabajos</w:t>
      </w:r>
      <w:r w:rsidR="0067348A">
        <w:rPr>
          <w:b/>
          <w:lang w:val="es-CL"/>
        </w:rPr>
        <w:t>,</w:t>
      </w:r>
      <w:r>
        <w:rPr>
          <w:b/>
          <w:lang w:val="es-CL"/>
        </w:rPr>
        <w:t xml:space="preserve"> debe</w:t>
      </w:r>
      <w:r w:rsidR="0067348A">
        <w:rPr>
          <w:b/>
          <w:lang w:val="es-CL"/>
        </w:rPr>
        <w:t>n</w:t>
      </w:r>
      <w:r>
        <w:rPr>
          <w:b/>
          <w:lang w:val="es-CL"/>
        </w:rPr>
        <w:t xml:space="preserve"> suscribir el desarrollo de su presentación a unos de los siguientes ejes temáticos</w:t>
      </w:r>
      <w:r w:rsidR="006E2C70">
        <w:rPr>
          <w:b/>
          <w:lang w:val="es-CL"/>
        </w:rPr>
        <w:t>,</w:t>
      </w:r>
      <w:r>
        <w:rPr>
          <w:b/>
          <w:lang w:val="es-CL"/>
        </w:rPr>
        <w:t xml:space="preserve"> que serán acotados y reforzados por las conferencias magistrales en la misma línea de pensamiento</w:t>
      </w:r>
      <w:r w:rsidR="00D54BEF">
        <w:rPr>
          <w:b/>
          <w:lang w:val="es-CL"/>
        </w:rPr>
        <w:t xml:space="preserve"> del tema elegido</w:t>
      </w:r>
      <w:r>
        <w:rPr>
          <w:b/>
          <w:lang w:val="es-CL"/>
        </w:rPr>
        <w:t>:</w:t>
      </w:r>
    </w:p>
    <w:p w:rsidR="00BD0BA6" w:rsidRDefault="00BD0BA6" w:rsidP="007532CF">
      <w:pPr>
        <w:jc w:val="both"/>
        <w:rPr>
          <w:b/>
          <w:lang w:val="es-CL"/>
        </w:rPr>
      </w:pPr>
    </w:p>
    <w:p w:rsidR="00366325" w:rsidRDefault="00366325" w:rsidP="007532CF">
      <w:pPr>
        <w:jc w:val="both"/>
        <w:rPr>
          <w:b/>
          <w:lang w:val="es-CL"/>
        </w:rPr>
      </w:pPr>
    </w:p>
    <w:p w:rsidR="003724AC" w:rsidRDefault="003724AC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Más allá de la Frontera</w:t>
      </w:r>
      <w:r>
        <w:rPr>
          <w:b/>
          <w:lang w:val="es-CL"/>
        </w:rPr>
        <w:t xml:space="preserve"> GLOCAL, entendiendo el proyecto LOCAL para ser GLOBAL</w:t>
      </w:r>
    </w:p>
    <w:p w:rsidR="003724AC" w:rsidRDefault="003724AC" w:rsidP="007532CF">
      <w:pPr>
        <w:jc w:val="both"/>
        <w:rPr>
          <w:lang w:val="es-CL"/>
        </w:rPr>
      </w:pPr>
      <w:r w:rsidRPr="003724AC">
        <w:rPr>
          <w:lang w:val="es-CL"/>
        </w:rPr>
        <w:t xml:space="preserve">Hoy es muy diferente “ser global a ser globalizado” y nos interesa aquí aquellos proyectos académicos y profesionales que </w:t>
      </w:r>
      <w:r>
        <w:rPr>
          <w:lang w:val="es-CL"/>
        </w:rPr>
        <w:t xml:space="preserve">a </w:t>
      </w:r>
      <w:r w:rsidRPr="003724AC">
        <w:rPr>
          <w:lang w:val="es-CL"/>
        </w:rPr>
        <w:t xml:space="preserve">partir de su propia idiosincrasia han generado imaginarios </w:t>
      </w:r>
      <w:r w:rsidR="00A33047">
        <w:rPr>
          <w:lang w:val="es-CL"/>
        </w:rPr>
        <w:t xml:space="preserve">y </w:t>
      </w:r>
      <w:r w:rsidRPr="003724AC">
        <w:rPr>
          <w:lang w:val="es-CL"/>
        </w:rPr>
        <w:lastRenderedPageBreak/>
        <w:t>sincretismo</w:t>
      </w:r>
      <w:r w:rsidR="00BD0BA6">
        <w:rPr>
          <w:lang w:val="es-CL"/>
        </w:rPr>
        <w:t>s</w:t>
      </w:r>
      <w:r w:rsidRPr="003724AC">
        <w:rPr>
          <w:lang w:val="es-CL"/>
        </w:rPr>
        <w:t xml:space="preserve"> con valores propios y se han trasformado en refere</w:t>
      </w:r>
      <w:r w:rsidR="006E2C70">
        <w:rPr>
          <w:lang w:val="es-CL"/>
        </w:rPr>
        <w:t>ntes e imágenes globales por su imagen icónica y aceptación pública</w:t>
      </w:r>
      <w:r>
        <w:rPr>
          <w:lang w:val="es-CL"/>
        </w:rPr>
        <w:t>,</w:t>
      </w:r>
      <w:r w:rsidRPr="003724AC">
        <w:rPr>
          <w:lang w:val="es-CL"/>
        </w:rPr>
        <w:t xml:space="preserve"> </w:t>
      </w:r>
      <w:r>
        <w:rPr>
          <w:lang w:val="es-CL"/>
        </w:rPr>
        <w:t>cruzando y transgrediendo sus propias fronteras</w:t>
      </w:r>
      <w:r w:rsidRPr="003724AC">
        <w:rPr>
          <w:lang w:val="es-CL"/>
        </w:rPr>
        <w:t>.</w:t>
      </w:r>
      <w:r w:rsidR="00BD0BA6">
        <w:rPr>
          <w:lang w:val="es-CL"/>
        </w:rPr>
        <w:t xml:space="preserve"> Latinoamérica es hoy una laboratorio de ejemplos de desarrollo Arquitectónico y Urbano, y existe obras paradigmáticas que se han reconocido como iconos mundiales de desarrollo social y comunitario, el SESC </w:t>
      </w:r>
      <w:proofErr w:type="spellStart"/>
      <w:r w:rsidR="00BD0BA6">
        <w:rPr>
          <w:lang w:val="es-CL"/>
        </w:rPr>
        <w:t>Pompeia</w:t>
      </w:r>
      <w:proofErr w:type="spellEnd"/>
      <w:r w:rsidR="00BD0BA6">
        <w:rPr>
          <w:lang w:val="es-CL"/>
        </w:rPr>
        <w:t xml:space="preserve"> de Lina Bo Bardi, el Banco de Londres de </w:t>
      </w:r>
      <w:proofErr w:type="spellStart"/>
      <w:r w:rsidR="00BD0BA6">
        <w:rPr>
          <w:lang w:val="es-CL"/>
        </w:rPr>
        <w:t>Clorindo</w:t>
      </w:r>
      <w:proofErr w:type="spellEnd"/>
      <w:r w:rsidR="00BD0BA6">
        <w:rPr>
          <w:lang w:val="es-CL"/>
        </w:rPr>
        <w:t xml:space="preserve"> Testa o la </w:t>
      </w:r>
      <w:r w:rsidR="00053430">
        <w:rPr>
          <w:lang w:val="es-CL"/>
        </w:rPr>
        <w:t>Capilla</w:t>
      </w:r>
      <w:r w:rsidR="00BD0BA6">
        <w:rPr>
          <w:lang w:val="es-CL"/>
        </w:rPr>
        <w:t xml:space="preserve"> </w:t>
      </w:r>
      <w:r w:rsidR="00053430">
        <w:rPr>
          <w:lang w:val="es-CL"/>
        </w:rPr>
        <w:t xml:space="preserve">del Monasterio  </w:t>
      </w:r>
      <w:proofErr w:type="spellStart"/>
      <w:r w:rsidR="00BD0BA6">
        <w:rPr>
          <w:lang w:val="es-CL"/>
        </w:rPr>
        <w:t>Benedectinos</w:t>
      </w:r>
      <w:proofErr w:type="spellEnd"/>
      <w:r w:rsidR="00BD0BA6">
        <w:rPr>
          <w:lang w:val="es-CL"/>
        </w:rPr>
        <w:t xml:space="preserve"> de los hermanos </w:t>
      </w:r>
      <w:r w:rsidR="00053430">
        <w:rPr>
          <w:lang w:val="es-CL"/>
        </w:rPr>
        <w:t xml:space="preserve">de la orden Gabriel </w:t>
      </w:r>
      <w:r w:rsidR="00BD0BA6">
        <w:rPr>
          <w:lang w:val="es-CL"/>
        </w:rPr>
        <w:t>Guarda</w:t>
      </w:r>
      <w:r w:rsidR="00053430">
        <w:rPr>
          <w:lang w:val="es-CL"/>
        </w:rPr>
        <w:t xml:space="preserve"> y Martin Correa</w:t>
      </w:r>
      <w:r w:rsidR="00B237E4">
        <w:rPr>
          <w:lang w:val="es-CL"/>
        </w:rPr>
        <w:t>, que se han convertido en los clásicos de América del Sur</w:t>
      </w:r>
      <w:r w:rsidR="00053430">
        <w:rPr>
          <w:lang w:val="es-CL"/>
        </w:rPr>
        <w:t>. Y de otra forma, el desarrollo y la gestión urbana sorprendente de Medellín y Curitiba, que desde una visión local han logrado proyectar soluciones y desarrollos globales</w:t>
      </w:r>
      <w:r w:rsidR="0067348A">
        <w:rPr>
          <w:lang w:val="es-CL"/>
        </w:rPr>
        <w:t>, de transporte, densidad urbana</w:t>
      </w:r>
      <w:r w:rsidR="006E2C70">
        <w:rPr>
          <w:lang w:val="es-CL"/>
        </w:rPr>
        <w:t>,</w:t>
      </w:r>
      <w:r w:rsidR="0067348A">
        <w:rPr>
          <w:lang w:val="es-CL"/>
        </w:rPr>
        <w:t xml:space="preserve"> y transformaciones sociales y ambientales</w:t>
      </w:r>
      <w:r w:rsidR="00D54BEF">
        <w:rPr>
          <w:lang w:val="es-CL"/>
        </w:rPr>
        <w:t>,</w:t>
      </w:r>
      <w:r w:rsidR="0067348A">
        <w:rPr>
          <w:lang w:val="es-CL"/>
        </w:rPr>
        <w:t xml:space="preserve"> por solo nombrar algunos de sus factores de éxito</w:t>
      </w:r>
      <w:r w:rsidR="00053430">
        <w:rPr>
          <w:lang w:val="es-CL"/>
        </w:rPr>
        <w:t>.</w:t>
      </w:r>
      <w:r w:rsidR="00D54BEF">
        <w:rPr>
          <w:lang w:val="es-CL"/>
        </w:rPr>
        <w:t xml:space="preserve"> Las ponencias de esta línea deben reconocer los valores locales y su proyección al mundo.</w:t>
      </w:r>
    </w:p>
    <w:p w:rsidR="003724AC" w:rsidRPr="003724AC" w:rsidRDefault="003724AC" w:rsidP="007532CF">
      <w:pPr>
        <w:jc w:val="both"/>
        <w:rPr>
          <w:lang w:val="es-CL"/>
        </w:rPr>
      </w:pPr>
    </w:p>
    <w:p w:rsidR="00037CC6" w:rsidRDefault="003724AC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Más allá de la Frontera de las TENDENCIAS EMERGENTES Y RESPONSABILIDAD SOCIAL</w:t>
      </w:r>
      <w:r w:rsidR="006A107D" w:rsidRPr="003724AC">
        <w:rPr>
          <w:b/>
          <w:lang w:val="es-CL"/>
        </w:rPr>
        <w:t xml:space="preserve">. </w:t>
      </w:r>
    </w:p>
    <w:p w:rsidR="00655DBA" w:rsidRPr="00A33047" w:rsidRDefault="00655DBA" w:rsidP="007532CF">
      <w:pPr>
        <w:jc w:val="both"/>
        <w:rPr>
          <w:lang w:val="es-CL"/>
        </w:rPr>
      </w:pPr>
      <w:r w:rsidRPr="00A33047">
        <w:rPr>
          <w:lang w:val="es-CL"/>
        </w:rPr>
        <w:t>Materiales locales, soluciones del lugar, presupuestos limitados, escases de medios,</w:t>
      </w:r>
      <w:r w:rsidR="00A33047">
        <w:rPr>
          <w:lang w:val="es-CL"/>
        </w:rPr>
        <w:t xml:space="preserve"> para una profesión cada vez emergente y relacionada intrínsecamente con la responsabilidad social. Los diseños rentables no solo económicamente sino que además  valorados y reconocidos por sus usuarios</w:t>
      </w:r>
      <w:r w:rsidR="0087335F">
        <w:rPr>
          <w:lang w:val="es-CL"/>
        </w:rPr>
        <w:t>,</w:t>
      </w:r>
      <w:r w:rsidR="00A33047">
        <w:rPr>
          <w:lang w:val="es-CL"/>
        </w:rPr>
        <w:t xml:space="preserve"> como un espacio adaptado a sus necesidades</w:t>
      </w:r>
      <w:r w:rsidR="00D54BEF">
        <w:rPr>
          <w:lang w:val="es-CL"/>
        </w:rPr>
        <w:t>, en donde la i</w:t>
      </w:r>
      <w:r w:rsidR="00A33047">
        <w:rPr>
          <w:lang w:val="es-CL"/>
        </w:rPr>
        <w:t>nclusión y participación son el indicador del proyecto.</w:t>
      </w:r>
      <w:r w:rsidR="00053430">
        <w:rPr>
          <w:lang w:val="es-CL"/>
        </w:rPr>
        <w:t xml:space="preserve"> Un semillero de arquitectos jóvenes y emergentes  </w:t>
      </w:r>
      <w:r w:rsidR="006E2C70">
        <w:rPr>
          <w:lang w:val="es-CL"/>
        </w:rPr>
        <w:t>ha</w:t>
      </w:r>
      <w:r w:rsidR="00053430">
        <w:rPr>
          <w:lang w:val="es-CL"/>
        </w:rPr>
        <w:t xml:space="preserve"> consolidado un panorama cada vez más promisorio para las soluciones contingentes en nuestro continente americano y con réditos sorprendentes en la arquitectura, con el uso de nuevas tecnologías y la puesta en valor de materiales alternativos y locales. El atelier </w:t>
      </w:r>
      <w:r w:rsidR="00D04F2F">
        <w:rPr>
          <w:lang w:val="es-CL"/>
        </w:rPr>
        <w:t>“</w:t>
      </w:r>
      <w:r w:rsidR="00053430">
        <w:rPr>
          <w:lang w:val="es-CL"/>
        </w:rPr>
        <w:t>Entre Nos</w:t>
      </w:r>
      <w:r w:rsidR="00D04F2F">
        <w:rPr>
          <w:lang w:val="es-CL"/>
        </w:rPr>
        <w:t>”</w:t>
      </w:r>
      <w:r w:rsidR="00053430">
        <w:rPr>
          <w:lang w:val="es-CL"/>
        </w:rPr>
        <w:t xml:space="preserve"> de Costa Rica, el Colectivo </w:t>
      </w:r>
      <w:r w:rsidR="00D04F2F">
        <w:rPr>
          <w:lang w:val="es-CL"/>
        </w:rPr>
        <w:t>“</w:t>
      </w:r>
      <w:r w:rsidR="00053430">
        <w:rPr>
          <w:lang w:val="es-CL"/>
        </w:rPr>
        <w:t>Al Borde</w:t>
      </w:r>
      <w:r w:rsidR="00D04F2F">
        <w:rPr>
          <w:lang w:val="es-CL"/>
        </w:rPr>
        <w:t>”</w:t>
      </w:r>
      <w:r w:rsidR="00053430">
        <w:rPr>
          <w:lang w:val="es-CL"/>
        </w:rPr>
        <w:t xml:space="preserve"> en Ecuador y </w:t>
      </w:r>
      <w:r w:rsidR="00D04F2F">
        <w:rPr>
          <w:lang w:val="es-CL"/>
        </w:rPr>
        <w:t>“</w:t>
      </w:r>
      <w:r w:rsidR="00053430">
        <w:rPr>
          <w:lang w:val="es-CL"/>
        </w:rPr>
        <w:t>Elemental</w:t>
      </w:r>
      <w:r w:rsidR="00D04F2F">
        <w:rPr>
          <w:lang w:val="es-CL"/>
        </w:rPr>
        <w:t>”</w:t>
      </w:r>
      <w:r w:rsidR="00053430">
        <w:rPr>
          <w:lang w:val="es-CL"/>
        </w:rPr>
        <w:t xml:space="preserve"> en Chile son algunos de los exponentes que han aprendido a través del “aprender haciendo” y se han proyectado desde su particular territorio e idiosincrasia.</w:t>
      </w:r>
    </w:p>
    <w:p w:rsidR="003724AC" w:rsidRPr="003724AC" w:rsidRDefault="003724AC" w:rsidP="007532CF">
      <w:pPr>
        <w:jc w:val="both"/>
        <w:rPr>
          <w:b/>
          <w:lang w:val="es-CL"/>
        </w:rPr>
      </w:pPr>
    </w:p>
    <w:p w:rsidR="003724AC" w:rsidRDefault="003724AC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Más allá de la Frontera de la</w:t>
      </w:r>
      <w:r w:rsidR="00655DBA">
        <w:rPr>
          <w:b/>
          <w:lang w:val="es-CL"/>
        </w:rPr>
        <w:t xml:space="preserve"> INNOVACION Y </w:t>
      </w:r>
      <w:r w:rsidRPr="003724AC">
        <w:rPr>
          <w:b/>
          <w:lang w:val="es-CL"/>
        </w:rPr>
        <w:t>EMPRENDIMIENTO</w:t>
      </w:r>
    </w:p>
    <w:p w:rsidR="00A33047" w:rsidRDefault="00A33047" w:rsidP="007532CF">
      <w:pPr>
        <w:jc w:val="both"/>
        <w:rPr>
          <w:lang w:val="es-CL"/>
        </w:rPr>
      </w:pPr>
      <w:r w:rsidRPr="00A33047">
        <w:rPr>
          <w:lang w:val="es-CL"/>
        </w:rPr>
        <w:t>Hasta hace pocos años no existían los “colectivos de arquitectura”, que son una especie de taller u oficina</w:t>
      </w:r>
      <w:r>
        <w:rPr>
          <w:lang w:val="es-CL"/>
        </w:rPr>
        <w:t xml:space="preserve"> que se crea para responder a necesidades específicas o encuentran un nicho de desarrollo en que los estudios u oficinas tradicionales no tienen cabida. Hoy las palabras innovación y emprendimiento son comunes, pero van más allá de la sustentabilidad</w:t>
      </w:r>
      <w:r w:rsidR="006F7EF0">
        <w:rPr>
          <w:lang w:val="es-CL"/>
        </w:rPr>
        <w:t xml:space="preserve">, y hablan de actores </w:t>
      </w:r>
      <w:proofErr w:type="spellStart"/>
      <w:r w:rsidR="006F7EF0">
        <w:rPr>
          <w:lang w:val="es-CL"/>
        </w:rPr>
        <w:t>incumbentes</w:t>
      </w:r>
      <w:proofErr w:type="spellEnd"/>
      <w:r w:rsidR="006F7EF0">
        <w:rPr>
          <w:lang w:val="es-CL"/>
        </w:rPr>
        <w:t xml:space="preserve"> y resiliencia, para la creación de escenarios urbanos cambiantes</w:t>
      </w:r>
      <w:r w:rsidR="0087335F">
        <w:rPr>
          <w:lang w:val="es-CL"/>
        </w:rPr>
        <w:t>,</w:t>
      </w:r>
      <w:r w:rsidR="006F7EF0">
        <w:rPr>
          <w:lang w:val="es-CL"/>
        </w:rPr>
        <w:t xml:space="preserve"> </w:t>
      </w:r>
      <w:r w:rsidR="00B5032A">
        <w:rPr>
          <w:lang w:val="es-CL"/>
        </w:rPr>
        <w:t>buscan</w:t>
      </w:r>
      <w:r w:rsidR="00D54BEF">
        <w:rPr>
          <w:lang w:val="es-CL"/>
        </w:rPr>
        <w:t>do así</w:t>
      </w:r>
      <w:r w:rsidR="00B5032A">
        <w:rPr>
          <w:lang w:val="es-CL"/>
        </w:rPr>
        <w:t xml:space="preserve"> </w:t>
      </w:r>
      <w:r w:rsidR="006F7EF0">
        <w:rPr>
          <w:lang w:val="es-CL"/>
        </w:rPr>
        <w:t>nuevas áreas de desarrollo para un hábitat en transformación.</w:t>
      </w:r>
    </w:p>
    <w:p w:rsidR="00D04F2F" w:rsidRDefault="00D04F2F" w:rsidP="007532CF">
      <w:pPr>
        <w:jc w:val="both"/>
        <w:rPr>
          <w:lang w:val="es-CL"/>
        </w:rPr>
      </w:pPr>
      <w:r>
        <w:rPr>
          <w:lang w:val="es-CL"/>
        </w:rPr>
        <w:t xml:space="preserve">En éste eje temático hay espacio para las arquitecturas que a partir de los materiales locales logran nuevos nichos de diseño, con valor agregado constructivo y una cuota de innovación en </w:t>
      </w:r>
      <w:r w:rsidR="00D54BEF">
        <w:rPr>
          <w:lang w:val="es-CL"/>
        </w:rPr>
        <w:t xml:space="preserve">su </w:t>
      </w:r>
      <w:r>
        <w:rPr>
          <w:lang w:val="es-CL"/>
        </w:rPr>
        <w:lastRenderedPageBreak/>
        <w:t xml:space="preserve">uso y disposición, creando nuevas variaciones y precepciones estéticas y que agregan </w:t>
      </w:r>
      <w:r w:rsidR="00D54BEF">
        <w:rPr>
          <w:lang w:val="es-CL"/>
        </w:rPr>
        <w:t>significado</w:t>
      </w:r>
      <w:r>
        <w:rPr>
          <w:lang w:val="es-CL"/>
        </w:rPr>
        <w:t xml:space="preserve"> al espacio construido. Arquitecturas latinoamericanas que se expresan en los materiales tradicionales, pero que logran transformar su expresión, tales como el barro, la piedra, el bambú y la madera</w:t>
      </w:r>
      <w:r w:rsidR="00D54BEF">
        <w:rPr>
          <w:lang w:val="es-CL"/>
        </w:rPr>
        <w:t>, etc.,</w:t>
      </w:r>
      <w:r>
        <w:rPr>
          <w:lang w:val="es-CL"/>
        </w:rPr>
        <w:t xml:space="preserve"> dependiendo de su particular emplazamiento y </w:t>
      </w:r>
      <w:proofErr w:type="spellStart"/>
      <w:r>
        <w:rPr>
          <w:lang w:val="es-CL"/>
        </w:rPr>
        <w:t>lugaridad</w:t>
      </w:r>
      <w:proofErr w:type="spellEnd"/>
      <w:r>
        <w:rPr>
          <w:lang w:val="es-CL"/>
        </w:rPr>
        <w:t>.</w:t>
      </w:r>
      <w:r w:rsidR="00B237E4">
        <w:rPr>
          <w:lang w:val="es-CL"/>
        </w:rPr>
        <w:t xml:space="preserve"> Pero también están aquí los estudios y talleres alternativos que encuentran espacio de conquista y desarrollo en </w:t>
      </w:r>
      <w:r w:rsidR="0067348A">
        <w:rPr>
          <w:lang w:val="es-CL"/>
        </w:rPr>
        <w:t>temáticas</w:t>
      </w:r>
      <w:r w:rsidR="00B237E4">
        <w:rPr>
          <w:lang w:val="es-CL"/>
        </w:rPr>
        <w:t xml:space="preserve"> en las cuales el “</w:t>
      </w:r>
      <w:proofErr w:type="spellStart"/>
      <w:r w:rsidR="00B237E4">
        <w:rPr>
          <w:lang w:val="es-CL"/>
        </w:rPr>
        <w:t>star</w:t>
      </w:r>
      <w:proofErr w:type="spellEnd"/>
      <w:r w:rsidR="00B237E4">
        <w:rPr>
          <w:lang w:val="es-CL"/>
        </w:rPr>
        <w:t xml:space="preserve"> </w:t>
      </w:r>
      <w:proofErr w:type="spellStart"/>
      <w:r w:rsidR="00B237E4">
        <w:rPr>
          <w:lang w:val="es-CL"/>
        </w:rPr>
        <w:t>system</w:t>
      </w:r>
      <w:proofErr w:type="spellEnd"/>
      <w:r w:rsidR="00B237E4">
        <w:rPr>
          <w:lang w:val="es-CL"/>
        </w:rPr>
        <w:t xml:space="preserve">” no tiene cabida o no resulta económico intervenir por el tamaño y complejidad de sus </w:t>
      </w:r>
      <w:r w:rsidR="0067348A">
        <w:rPr>
          <w:lang w:val="es-CL"/>
        </w:rPr>
        <w:t>oficinas</w:t>
      </w:r>
      <w:r w:rsidR="00D54BEF">
        <w:rPr>
          <w:lang w:val="es-CL"/>
        </w:rPr>
        <w:t xml:space="preserve"> o la gran magnitud de los proyectos que están acostumbrados a intervenir</w:t>
      </w:r>
      <w:r w:rsidR="0067348A">
        <w:rPr>
          <w:lang w:val="es-CL"/>
        </w:rPr>
        <w:t>.</w:t>
      </w:r>
    </w:p>
    <w:p w:rsidR="006F7EF0" w:rsidRPr="00A33047" w:rsidRDefault="006F7EF0" w:rsidP="007532CF">
      <w:pPr>
        <w:jc w:val="both"/>
        <w:rPr>
          <w:lang w:val="es-CL"/>
        </w:rPr>
      </w:pPr>
    </w:p>
    <w:p w:rsidR="00037CC6" w:rsidRDefault="003724AC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Más allá de la Frontera de la INVE</w:t>
      </w:r>
      <w:r>
        <w:rPr>
          <w:b/>
          <w:lang w:val="es-CL"/>
        </w:rPr>
        <w:t>STIGACION,</w:t>
      </w:r>
      <w:r w:rsidRPr="003724AC">
        <w:rPr>
          <w:b/>
          <w:lang w:val="es-CL"/>
        </w:rPr>
        <w:t xml:space="preserve"> DOCENCIA, Y NUEVAS TECNOLOGIAS</w:t>
      </w:r>
    </w:p>
    <w:p w:rsidR="00655DBA" w:rsidRDefault="00655DBA" w:rsidP="007532CF">
      <w:pPr>
        <w:jc w:val="both"/>
        <w:rPr>
          <w:lang w:val="es-CL"/>
        </w:rPr>
      </w:pPr>
      <w:r w:rsidRPr="00655DBA">
        <w:rPr>
          <w:lang w:val="es-CL"/>
        </w:rPr>
        <w:t xml:space="preserve">Muy atrás de la frontera quedo aquel profesor </w:t>
      </w:r>
      <w:r w:rsidR="00B5032A">
        <w:rPr>
          <w:lang w:val="es-CL"/>
        </w:rPr>
        <w:t>de</w:t>
      </w:r>
      <w:r w:rsidRPr="00655DBA">
        <w:rPr>
          <w:lang w:val="es-CL"/>
        </w:rPr>
        <w:t xml:space="preserve"> clases con tiza y un pizarrón negro. Este es el espacio de encuentro para aquellos académicos que han desafiado el chat, FB, WSP, TWT, SNAPCHAT e INSTAGRAM, </w:t>
      </w:r>
      <w:r w:rsidR="009F405F">
        <w:rPr>
          <w:lang w:val="es-CL"/>
        </w:rPr>
        <w:t xml:space="preserve">y </w:t>
      </w:r>
      <w:r w:rsidRPr="00655DBA">
        <w:rPr>
          <w:lang w:val="es-CL"/>
        </w:rPr>
        <w:t xml:space="preserve">han cruzado la frontera del aburrimiento </w:t>
      </w:r>
      <w:r w:rsidR="009F405F">
        <w:rPr>
          <w:lang w:val="es-CL"/>
        </w:rPr>
        <w:t xml:space="preserve">con convicción </w:t>
      </w:r>
      <w:r w:rsidRPr="00655DBA">
        <w:rPr>
          <w:lang w:val="es-CL"/>
        </w:rPr>
        <w:t xml:space="preserve">y se han instalado en el centro de la polémica atrayendo a sus alumnos </w:t>
      </w:r>
      <w:r w:rsidR="00D54BEF">
        <w:rPr>
          <w:lang w:val="es-CL"/>
        </w:rPr>
        <w:t>con</w:t>
      </w:r>
      <w:r w:rsidRPr="00655DBA">
        <w:rPr>
          <w:lang w:val="es-CL"/>
        </w:rPr>
        <w:t xml:space="preserve"> temas contingente</w:t>
      </w:r>
      <w:r w:rsidR="00D54BEF">
        <w:rPr>
          <w:lang w:val="es-CL"/>
        </w:rPr>
        <w:t>s</w:t>
      </w:r>
      <w:r w:rsidRPr="00655DBA">
        <w:rPr>
          <w:lang w:val="es-CL"/>
        </w:rPr>
        <w:t xml:space="preserve"> en investigación, métodos de enseñanza y el desafío de nuevos materiales constructivos y pedagógic</w:t>
      </w:r>
      <w:r w:rsidR="009F405F">
        <w:rPr>
          <w:lang w:val="es-CL"/>
        </w:rPr>
        <w:t>os. Es una invitación y desafío</w:t>
      </w:r>
      <w:r w:rsidRPr="00655DBA">
        <w:rPr>
          <w:lang w:val="es-CL"/>
        </w:rPr>
        <w:t xml:space="preserve"> para aquellos que van más allá de la revolución digital y han incursionado en el coaching y las aproximaciones multidimensionales en la enseñanza de la arquitectura</w:t>
      </w:r>
      <w:r w:rsidR="00D04F2F">
        <w:rPr>
          <w:lang w:val="es-CL"/>
        </w:rPr>
        <w:t>, en un espacio creativo en donde el académico desmitifica y deconstruye la catedra, para transfórmala en un espacio crítico, reflexivo y donde la didáctica del proyecto es transversal al tiempo creativo</w:t>
      </w:r>
      <w:r w:rsidR="00557B30">
        <w:rPr>
          <w:lang w:val="es-CL"/>
        </w:rPr>
        <w:t xml:space="preserve"> </w:t>
      </w:r>
      <w:r w:rsidR="00D04F2F">
        <w:rPr>
          <w:lang w:val="es-CL"/>
        </w:rPr>
        <w:t>y reflexivo, para que el alumno se transforme de actor en autor de nuevas exploraciones para contextos cada vez más exigentes.</w:t>
      </w:r>
      <w:r w:rsidR="0067348A">
        <w:rPr>
          <w:lang w:val="es-CL"/>
        </w:rPr>
        <w:t xml:space="preserve"> En este espacio la sustentabilidad es una mas de las múltiples variables de análisis y discusión que hay que poner en valor.</w:t>
      </w:r>
    </w:p>
    <w:p w:rsidR="00557B30" w:rsidRDefault="00557B30" w:rsidP="007532CF">
      <w:pPr>
        <w:jc w:val="both"/>
        <w:rPr>
          <w:lang w:val="es-CL"/>
        </w:rPr>
      </w:pPr>
    </w:p>
    <w:p w:rsidR="00557B30" w:rsidRPr="003724AC" w:rsidRDefault="00557B30" w:rsidP="00557B30">
      <w:pPr>
        <w:jc w:val="both"/>
        <w:rPr>
          <w:b/>
          <w:lang w:val="es-CL"/>
        </w:rPr>
      </w:pPr>
      <w:r w:rsidRPr="003724AC">
        <w:rPr>
          <w:b/>
          <w:lang w:val="es-CL"/>
        </w:rPr>
        <w:t xml:space="preserve">Más allá de la Frontera </w:t>
      </w:r>
      <w:r>
        <w:rPr>
          <w:b/>
          <w:lang w:val="es-CL"/>
        </w:rPr>
        <w:t>Urbana</w:t>
      </w:r>
    </w:p>
    <w:p w:rsidR="00557B30" w:rsidRDefault="00B237E4" w:rsidP="007532CF">
      <w:pPr>
        <w:jc w:val="both"/>
        <w:rPr>
          <w:lang w:val="es-CL"/>
        </w:rPr>
      </w:pPr>
      <w:r>
        <w:rPr>
          <w:lang w:val="es-CL"/>
        </w:rPr>
        <w:t>El cambio global climático, los desastres naturales y el grado de resiliencia de las comunidades urbanas ante los riegos y amenazas</w:t>
      </w:r>
      <w:r w:rsidR="0067348A">
        <w:rPr>
          <w:lang w:val="es-CL"/>
        </w:rPr>
        <w:t>, acarreadas por los cambios planetarios introducidos por la conducta humana</w:t>
      </w:r>
      <w:r w:rsidR="008D6F6D">
        <w:rPr>
          <w:lang w:val="es-CL"/>
        </w:rPr>
        <w:t>. La ciudad solo puede ser vista con su territorio y región, en un contexto global climático cambiante</w:t>
      </w:r>
      <w:r w:rsidR="006E2C70">
        <w:rPr>
          <w:lang w:val="es-CL"/>
        </w:rPr>
        <w:t>,</w:t>
      </w:r>
      <w:r w:rsidR="008D6F6D">
        <w:rPr>
          <w:lang w:val="es-CL"/>
        </w:rPr>
        <w:t xml:space="preserve"> en cuyo caso los modelos predictivos y de simulación pueden contribuir grandemente a aumentar la resiliencia de nuestras comunidades. Los terremotos, inundaciones, remoción en masa, erupciones, e incendios rurales son hoy constante</w:t>
      </w:r>
      <w:r w:rsidR="00D54BEF">
        <w:rPr>
          <w:lang w:val="es-CL"/>
        </w:rPr>
        <w:t>s críticas</w:t>
      </w:r>
      <w:r w:rsidR="008D6F6D">
        <w:rPr>
          <w:lang w:val="es-CL"/>
        </w:rPr>
        <w:t xml:space="preserve"> que afectan áreas consolidadas e informales de nuestras ciudades, su recuperación y reconstrucción, en conjunto con la evaluación de salud post </w:t>
      </w:r>
      <w:r w:rsidR="00D54BEF">
        <w:rPr>
          <w:lang w:val="es-CL"/>
        </w:rPr>
        <w:t>trauma,</w:t>
      </w:r>
      <w:r w:rsidR="008D6F6D">
        <w:rPr>
          <w:lang w:val="es-CL"/>
        </w:rPr>
        <w:t xml:space="preserve"> han permitido crear proyectos de desarrollo multidimensionales con nuevas formas de aproximación social y comunitaria, cuyos indicadores de progreso y calidad de vida serán claves para otras comunidades que se podrán ver afectadas en un futuro cercano. Este eje temático cruza barreras y determina desde el cambio global planetario </w:t>
      </w:r>
      <w:r w:rsidR="008D6F6D">
        <w:rPr>
          <w:lang w:val="es-CL"/>
        </w:rPr>
        <w:lastRenderedPageBreak/>
        <w:t xml:space="preserve">hasta el hábitat </w:t>
      </w:r>
      <w:r w:rsidR="00D54BEF">
        <w:rPr>
          <w:lang w:val="es-CL"/>
        </w:rPr>
        <w:t>individual</w:t>
      </w:r>
      <w:r w:rsidR="008D6F6D">
        <w:rPr>
          <w:lang w:val="es-CL"/>
        </w:rPr>
        <w:t>, pasando por diferentes escalas de complejidad y afectaciones mutuas en ecologías interrelacionadas.</w:t>
      </w:r>
    </w:p>
    <w:p w:rsidR="00557B30" w:rsidRDefault="00557B30" w:rsidP="007532CF">
      <w:pPr>
        <w:jc w:val="both"/>
        <w:rPr>
          <w:lang w:val="es-CL"/>
        </w:rPr>
      </w:pPr>
    </w:p>
    <w:p w:rsidR="00557B30" w:rsidRPr="0067348A" w:rsidRDefault="00882EBC" w:rsidP="007532CF">
      <w:pPr>
        <w:jc w:val="both"/>
        <w:rPr>
          <w:b/>
          <w:lang w:val="es-CL"/>
        </w:rPr>
      </w:pPr>
      <w:r w:rsidRPr="0067348A">
        <w:rPr>
          <w:b/>
          <w:lang w:val="es-CL"/>
        </w:rPr>
        <w:t>Más</w:t>
      </w:r>
      <w:r w:rsidR="0067348A" w:rsidRPr="0067348A">
        <w:rPr>
          <w:b/>
          <w:lang w:val="es-CL"/>
        </w:rPr>
        <w:t xml:space="preserve"> allá del patrimonio</w:t>
      </w:r>
    </w:p>
    <w:p w:rsidR="0067348A" w:rsidRDefault="0067348A" w:rsidP="007532CF">
      <w:pPr>
        <w:jc w:val="both"/>
        <w:rPr>
          <w:lang w:val="es-CL"/>
        </w:rPr>
      </w:pPr>
      <w:r>
        <w:rPr>
          <w:lang w:val="es-CL"/>
        </w:rPr>
        <w:t>El patrimonio es y será uno de los valores fundamentales de la arquitectura americana. No obstante nuestras economías y gobiernos destinan presupuestos exiguos y muchos inmuebles se derrumban</w:t>
      </w:r>
      <w:r w:rsidR="006E2C70">
        <w:rPr>
          <w:lang w:val="es-CL"/>
        </w:rPr>
        <w:t>,</w:t>
      </w:r>
      <w:r>
        <w:rPr>
          <w:lang w:val="es-CL"/>
        </w:rPr>
        <w:t xml:space="preserve"> o pierden</w:t>
      </w:r>
      <w:r w:rsidR="006E2C70">
        <w:rPr>
          <w:lang w:val="es-CL"/>
        </w:rPr>
        <w:t>,</w:t>
      </w:r>
      <w:r>
        <w:rPr>
          <w:lang w:val="es-CL"/>
        </w:rPr>
        <w:t xml:space="preserve"> ya sea por acción natural o antrópica, por lo tanto resulta fundamental la “gestión</w:t>
      </w:r>
      <w:r w:rsidR="006E2C70">
        <w:rPr>
          <w:lang w:val="es-CL"/>
        </w:rPr>
        <w:t xml:space="preserve"> del patrimonio”. L</w:t>
      </w:r>
      <w:r>
        <w:rPr>
          <w:lang w:val="es-CL"/>
        </w:rPr>
        <w:t xml:space="preserve">a re-funcionalización y regeneración del tejido histórico van a la par con la importancia o valor </w:t>
      </w:r>
      <w:r w:rsidR="00D54BEF">
        <w:rPr>
          <w:lang w:val="es-CL"/>
        </w:rPr>
        <w:t>del inmueble</w:t>
      </w:r>
      <w:r>
        <w:rPr>
          <w:lang w:val="es-CL"/>
        </w:rPr>
        <w:t>. Este, por tanto, es un espacio de reflexión en que las ponencias deben apuntar al desarrollo y gestión de proyectos, más que al proyecto de rescate patrimonial propiamente tal, de manera que las “buenas prácticas” relevadas pueden inducir y sugerir vías exploratorias y alternativas en otros casos y diferentes latitudes.</w:t>
      </w:r>
    </w:p>
    <w:p w:rsidR="00557B30" w:rsidRPr="00655DBA" w:rsidRDefault="00557B30" w:rsidP="007532CF">
      <w:pPr>
        <w:jc w:val="both"/>
        <w:rPr>
          <w:lang w:val="es-CL"/>
        </w:rPr>
      </w:pPr>
    </w:p>
    <w:p w:rsidR="00037CC6" w:rsidRPr="003724AC" w:rsidRDefault="00037CC6" w:rsidP="007532CF">
      <w:pPr>
        <w:jc w:val="both"/>
        <w:rPr>
          <w:b/>
          <w:lang w:val="es-CL"/>
        </w:rPr>
      </w:pPr>
      <w:r w:rsidRPr="003724AC">
        <w:rPr>
          <w:b/>
          <w:lang w:val="es-CL"/>
        </w:rPr>
        <w:t>Más allá de la Frontera del AULA</w:t>
      </w:r>
      <w:r w:rsidR="00557B30">
        <w:rPr>
          <w:b/>
          <w:lang w:val="es-CL"/>
        </w:rPr>
        <w:t>, vinculación de las Escuelas de Arquitectura con el Medio</w:t>
      </w:r>
    </w:p>
    <w:p w:rsidR="006F7EF0" w:rsidRDefault="00037CC6" w:rsidP="007532CF">
      <w:pPr>
        <w:jc w:val="both"/>
        <w:rPr>
          <w:lang w:val="es-CL"/>
        </w:rPr>
      </w:pPr>
      <w:r>
        <w:rPr>
          <w:lang w:val="es-CL"/>
        </w:rPr>
        <w:t xml:space="preserve">Este es un espacio único que se abre por primera vez para alumnos </w:t>
      </w:r>
      <w:r w:rsidR="009F405F">
        <w:rPr>
          <w:lang w:val="es-CL"/>
        </w:rPr>
        <w:t xml:space="preserve">y académicos </w:t>
      </w:r>
      <w:r>
        <w:rPr>
          <w:lang w:val="es-CL"/>
        </w:rPr>
        <w:t xml:space="preserve">que hayan participado en talleres de </w:t>
      </w:r>
      <w:r w:rsidR="003724AC">
        <w:rPr>
          <w:lang w:val="es-CL"/>
        </w:rPr>
        <w:t>vinculación</w:t>
      </w:r>
      <w:r>
        <w:rPr>
          <w:lang w:val="es-CL"/>
        </w:rPr>
        <w:t xml:space="preserve"> con el medio y que quieran mostrar sus resultados e intervenciones de los Talleres Sociales </w:t>
      </w:r>
      <w:r w:rsidR="003724AC">
        <w:rPr>
          <w:lang w:val="es-CL"/>
        </w:rPr>
        <w:t>Latinoamericanos</w:t>
      </w:r>
      <w:r>
        <w:rPr>
          <w:lang w:val="es-CL"/>
        </w:rPr>
        <w:t>, Tal</w:t>
      </w:r>
      <w:r w:rsidR="00655DBA">
        <w:rPr>
          <w:lang w:val="es-CL"/>
        </w:rPr>
        <w:t xml:space="preserve">leres Comunitarios </w:t>
      </w:r>
      <w:r w:rsidR="00557B30">
        <w:rPr>
          <w:lang w:val="es-CL"/>
        </w:rPr>
        <w:t xml:space="preserve">o Talleres de Integración Latinoamericanos </w:t>
      </w:r>
      <w:r w:rsidR="00655DBA">
        <w:rPr>
          <w:lang w:val="es-CL"/>
        </w:rPr>
        <w:t>(TSL</w:t>
      </w:r>
      <w:r w:rsidR="00557B30">
        <w:rPr>
          <w:lang w:val="es-CL"/>
        </w:rPr>
        <w:t xml:space="preserve">, </w:t>
      </w:r>
      <w:r w:rsidR="00655DBA">
        <w:rPr>
          <w:lang w:val="es-CL"/>
        </w:rPr>
        <w:t>TC</w:t>
      </w:r>
      <w:r w:rsidR="00557B30">
        <w:rPr>
          <w:lang w:val="es-CL"/>
        </w:rPr>
        <w:t xml:space="preserve"> y TIL</w:t>
      </w:r>
      <w:r w:rsidR="00655DBA">
        <w:rPr>
          <w:lang w:val="es-CL"/>
        </w:rPr>
        <w:t>) y/</w:t>
      </w:r>
      <w:r>
        <w:rPr>
          <w:lang w:val="es-CL"/>
        </w:rPr>
        <w:t>o cualquier otro taller que haya tenido una repercusión importante</w:t>
      </w:r>
      <w:r w:rsidR="003724AC">
        <w:rPr>
          <w:lang w:val="es-CL"/>
        </w:rPr>
        <w:t xml:space="preserve"> para la creación de un hábitat</w:t>
      </w:r>
      <w:r w:rsidR="00655DBA">
        <w:rPr>
          <w:lang w:val="es-CL"/>
        </w:rPr>
        <w:t xml:space="preserve">, </w:t>
      </w:r>
      <w:r w:rsidR="009F405F">
        <w:rPr>
          <w:lang w:val="es-CL"/>
        </w:rPr>
        <w:t xml:space="preserve">con casos de estudio reales y resultados empíricos, </w:t>
      </w:r>
      <w:r w:rsidR="00655DBA">
        <w:rPr>
          <w:lang w:val="es-CL"/>
        </w:rPr>
        <w:t>con</w:t>
      </w:r>
      <w:r w:rsidR="003724AC">
        <w:rPr>
          <w:lang w:val="es-CL"/>
        </w:rPr>
        <w:t xml:space="preserve"> un aporte sustancial para la comunidad que lo recibe.</w:t>
      </w:r>
      <w:r w:rsidR="00366325">
        <w:rPr>
          <w:lang w:val="es-CL"/>
        </w:rPr>
        <w:t xml:space="preserve"> Invitamos a que los alumnos que hayan participado en este tipo de iniciativas, empujen y estimules a sus tutores y maestros y presente los objetivos y resultados de sus proyectos, dimensionando el beneficio y transformaciones del medio social y colectivo intervenido.</w:t>
      </w:r>
    </w:p>
    <w:p w:rsidR="006F7EF0" w:rsidRDefault="006F7EF0" w:rsidP="007532CF">
      <w:pPr>
        <w:jc w:val="both"/>
        <w:rPr>
          <w:lang w:val="es-CL"/>
        </w:rPr>
      </w:pPr>
    </w:p>
    <w:p w:rsidR="00D54BEF" w:rsidRDefault="00D54BEF" w:rsidP="007532CF">
      <w:pPr>
        <w:jc w:val="both"/>
        <w:rPr>
          <w:lang w:val="es-CL"/>
        </w:rPr>
      </w:pPr>
    </w:p>
    <w:p w:rsidR="008D6F6D" w:rsidRPr="006F7EF0" w:rsidRDefault="00FA59FB" w:rsidP="007532CF">
      <w:pPr>
        <w:jc w:val="both"/>
        <w:rPr>
          <w:lang w:val="es-CL"/>
        </w:rPr>
      </w:pPr>
      <w:r w:rsidRPr="006F7EF0">
        <w:rPr>
          <w:b/>
          <w:lang w:val="es-CL"/>
        </w:rPr>
        <w:t>Convocatoria:</w:t>
      </w:r>
      <w:r w:rsidR="00DF6ACF">
        <w:rPr>
          <w:lang w:val="es-CL"/>
        </w:rPr>
        <w:t xml:space="preserve"> </w:t>
      </w:r>
      <w:r w:rsidR="006F7EF0" w:rsidRPr="006F7EF0">
        <w:rPr>
          <w:lang w:val="es-CL"/>
        </w:rPr>
        <w:t>A</w:t>
      </w:r>
      <w:r w:rsidR="00DF6ACF" w:rsidRPr="006F7EF0">
        <w:rPr>
          <w:lang w:val="es-CL"/>
        </w:rPr>
        <w:t xml:space="preserve">bierta el </w:t>
      </w:r>
      <w:r w:rsidR="009F405F">
        <w:rPr>
          <w:lang w:val="es-CL"/>
        </w:rPr>
        <w:t xml:space="preserve"> lunes 28</w:t>
      </w:r>
      <w:r w:rsidR="006A107D" w:rsidRPr="006F7EF0">
        <w:rPr>
          <w:lang w:val="es-CL"/>
        </w:rPr>
        <w:t xml:space="preserve"> de </w:t>
      </w:r>
      <w:r w:rsidRPr="006F7EF0">
        <w:rPr>
          <w:lang w:val="es-CL"/>
        </w:rPr>
        <w:t>Enero 2018</w:t>
      </w:r>
      <w:r w:rsidR="006A107D" w:rsidRPr="006F7EF0">
        <w:rPr>
          <w:lang w:val="es-CL"/>
        </w:rPr>
        <w:t xml:space="preserve"> </w:t>
      </w:r>
    </w:p>
    <w:p w:rsidR="00557B30" w:rsidRDefault="00FA59FB" w:rsidP="007532CF">
      <w:pPr>
        <w:jc w:val="both"/>
        <w:rPr>
          <w:b/>
          <w:lang w:val="es-CL"/>
        </w:rPr>
      </w:pPr>
      <w:r>
        <w:rPr>
          <w:b/>
          <w:lang w:val="es-CL"/>
        </w:rPr>
        <w:t xml:space="preserve">Consultas y expresiones de interés: </w:t>
      </w:r>
      <w:r w:rsidR="006F7EF0" w:rsidRPr="006F7EF0">
        <w:rPr>
          <w:lang w:val="es-CL"/>
        </w:rPr>
        <w:t xml:space="preserve">desde </w:t>
      </w:r>
      <w:r w:rsidRPr="006F7EF0">
        <w:rPr>
          <w:lang w:val="es-CL"/>
        </w:rPr>
        <w:t>5 de marzo al 30 de agosto</w:t>
      </w:r>
      <w:r w:rsidR="006F7EF0">
        <w:rPr>
          <w:lang w:val="es-CL"/>
        </w:rPr>
        <w:t xml:space="preserve">, envío de formularios de inscripción y formato de ponencias, es inmediato </w:t>
      </w:r>
      <w:r w:rsidR="00B70A1A">
        <w:rPr>
          <w:lang w:val="es-CL"/>
        </w:rPr>
        <w:t>una vez hecha</w:t>
      </w:r>
      <w:r w:rsidR="006F7EF0">
        <w:rPr>
          <w:lang w:val="es-CL"/>
        </w:rPr>
        <w:t xml:space="preserve"> consulta.</w:t>
      </w:r>
      <w:r w:rsidR="009F405F">
        <w:rPr>
          <w:lang w:val="es-CL"/>
        </w:rPr>
        <w:t xml:space="preserve"> Correos electrónicos a </w:t>
      </w:r>
      <w:hyperlink r:id="rId10" w:history="1">
        <w:r w:rsidR="00557B30" w:rsidRPr="0004568C">
          <w:rPr>
            <w:rStyle w:val="Hipervnculo"/>
            <w:b/>
            <w:lang w:val="es-CL"/>
          </w:rPr>
          <w:t>ponenciasxxviiclefa@gmail.com</w:t>
        </w:r>
      </w:hyperlink>
    </w:p>
    <w:p w:rsidR="008D6F6D" w:rsidRDefault="008D6F6D" w:rsidP="007532CF">
      <w:pPr>
        <w:jc w:val="both"/>
        <w:rPr>
          <w:b/>
          <w:lang w:val="es-CL"/>
        </w:rPr>
      </w:pPr>
    </w:p>
    <w:p w:rsidR="00FA59FB" w:rsidRDefault="006A107D" w:rsidP="007532CF">
      <w:pPr>
        <w:jc w:val="both"/>
        <w:rPr>
          <w:lang w:val="es-CL"/>
        </w:rPr>
      </w:pPr>
      <w:r w:rsidRPr="00FA59FB">
        <w:rPr>
          <w:b/>
          <w:lang w:val="es-CL"/>
        </w:rPr>
        <w:t xml:space="preserve">Propuesta </w:t>
      </w:r>
      <w:r w:rsidR="00557B30">
        <w:rPr>
          <w:b/>
          <w:lang w:val="es-CL"/>
        </w:rPr>
        <w:t>y envío de</w:t>
      </w:r>
      <w:r w:rsidRPr="00FA59FB">
        <w:rPr>
          <w:b/>
          <w:lang w:val="es-CL"/>
        </w:rPr>
        <w:t xml:space="preserve"> Ponencias:</w:t>
      </w:r>
      <w:r w:rsidRPr="006A107D">
        <w:rPr>
          <w:lang w:val="es-CL"/>
        </w:rPr>
        <w:t xml:space="preserve"> </w:t>
      </w:r>
      <w:r w:rsidR="00557B30">
        <w:rPr>
          <w:lang w:val="es-CL"/>
        </w:rPr>
        <w:t>desde Abril</w:t>
      </w:r>
      <w:r w:rsidR="00FA59FB">
        <w:rPr>
          <w:lang w:val="es-CL"/>
        </w:rPr>
        <w:t xml:space="preserve"> al 30 </w:t>
      </w:r>
      <w:r w:rsidR="00557B30">
        <w:rPr>
          <w:lang w:val="es-CL"/>
        </w:rPr>
        <w:t>Septiembre</w:t>
      </w:r>
    </w:p>
    <w:p w:rsidR="00713F47" w:rsidRDefault="00713F47" w:rsidP="007532CF">
      <w:pPr>
        <w:jc w:val="both"/>
        <w:rPr>
          <w:lang w:val="es-CL"/>
        </w:rPr>
      </w:pPr>
    </w:p>
    <w:p w:rsidR="00713F47" w:rsidRDefault="006A107D" w:rsidP="007532CF">
      <w:pPr>
        <w:jc w:val="both"/>
        <w:rPr>
          <w:lang w:val="es-CL"/>
        </w:rPr>
      </w:pPr>
      <w:r w:rsidRPr="00FA59FB">
        <w:rPr>
          <w:b/>
          <w:lang w:val="es-CL"/>
        </w:rPr>
        <w:t>Aceptación de Ponencias</w:t>
      </w:r>
      <w:r w:rsidRPr="006A107D">
        <w:rPr>
          <w:lang w:val="es-CL"/>
        </w:rPr>
        <w:t xml:space="preserve">: </w:t>
      </w:r>
      <w:r w:rsidR="00DF6ACF">
        <w:rPr>
          <w:lang w:val="es-CL"/>
        </w:rPr>
        <w:t>Simultánea</w:t>
      </w:r>
      <w:r w:rsidR="00FA59FB">
        <w:rPr>
          <w:lang w:val="es-CL"/>
        </w:rPr>
        <w:t xml:space="preserve"> al envío, el panel revisor la evaluará un</w:t>
      </w:r>
      <w:r w:rsidR="00DF6ACF">
        <w:rPr>
          <w:lang w:val="es-CL"/>
        </w:rPr>
        <w:t>a</w:t>
      </w:r>
      <w:r w:rsidR="00FA59FB">
        <w:rPr>
          <w:lang w:val="es-CL"/>
        </w:rPr>
        <w:t xml:space="preserve"> vez </w:t>
      </w:r>
      <w:proofErr w:type="spellStart"/>
      <w:r w:rsidR="00FA59FB">
        <w:rPr>
          <w:lang w:val="es-CL"/>
        </w:rPr>
        <w:t>recepcionada</w:t>
      </w:r>
      <w:proofErr w:type="spellEnd"/>
      <w:r w:rsidR="00FA59FB">
        <w:rPr>
          <w:lang w:val="es-CL"/>
        </w:rPr>
        <w:t xml:space="preserve"> en un plazo de 10 días hábil</w:t>
      </w:r>
      <w:r w:rsidR="00DF6ACF">
        <w:rPr>
          <w:lang w:val="es-CL"/>
        </w:rPr>
        <w:t>es, una vez llenado los cupos en una línea temática</w:t>
      </w:r>
      <w:r w:rsidR="00ED1252">
        <w:rPr>
          <w:lang w:val="es-CL"/>
        </w:rPr>
        <w:t>,</w:t>
      </w:r>
      <w:r w:rsidR="00DF6ACF">
        <w:rPr>
          <w:lang w:val="es-CL"/>
        </w:rPr>
        <w:t xml:space="preserve"> s</w:t>
      </w:r>
      <w:r w:rsidR="00FA59FB">
        <w:rPr>
          <w:lang w:val="es-CL"/>
        </w:rPr>
        <w:t>e rechazarán todos los envíos posteriores.</w:t>
      </w:r>
    </w:p>
    <w:p w:rsidR="008D6F6D" w:rsidRDefault="008D6F6D" w:rsidP="007532CF">
      <w:pPr>
        <w:jc w:val="both"/>
        <w:rPr>
          <w:lang w:val="es-CL"/>
        </w:rPr>
      </w:pPr>
    </w:p>
    <w:p w:rsidR="00342B99" w:rsidRDefault="006A107D" w:rsidP="007532CF">
      <w:pPr>
        <w:jc w:val="both"/>
        <w:rPr>
          <w:lang w:val="es-CL"/>
        </w:rPr>
      </w:pPr>
      <w:r w:rsidRPr="00FA59FB">
        <w:rPr>
          <w:b/>
          <w:lang w:val="es-CL"/>
        </w:rPr>
        <w:t>Envío de ponencias aceptadas</w:t>
      </w:r>
      <w:r w:rsidRPr="006A107D">
        <w:rPr>
          <w:lang w:val="es-CL"/>
        </w:rPr>
        <w:t xml:space="preserve">: </w:t>
      </w:r>
      <w:r w:rsidR="00FA59FB">
        <w:rPr>
          <w:lang w:val="es-CL"/>
        </w:rPr>
        <w:t>El Sistema será “</w:t>
      </w:r>
      <w:proofErr w:type="spellStart"/>
      <w:r w:rsidR="00FA59FB">
        <w:rPr>
          <w:lang w:val="es-CL"/>
        </w:rPr>
        <w:t>ready</w:t>
      </w:r>
      <w:proofErr w:type="spellEnd"/>
      <w:r w:rsidR="00FA59FB">
        <w:rPr>
          <w:lang w:val="es-CL"/>
        </w:rPr>
        <w:t xml:space="preserve"> camera”, se </w:t>
      </w:r>
      <w:r w:rsidR="00557B30">
        <w:rPr>
          <w:lang w:val="es-CL"/>
        </w:rPr>
        <w:t xml:space="preserve">ha elaborado un formato tipo para su diagramación y redacción, el cual no puede ser alterado </w:t>
      </w:r>
      <w:r w:rsidR="008D6F6D">
        <w:rPr>
          <w:lang w:val="es-CL"/>
        </w:rPr>
        <w:t>ya que este</w:t>
      </w:r>
      <w:r w:rsidR="00557B30">
        <w:rPr>
          <w:lang w:val="es-CL"/>
        </w:rPr>
        <w:t xml:space="preserve"> será el formato de edición</w:t>
      </w:r>
      <w:r w:rsidR="00FA59FB">
        <w:rPr>
          <w:lang w:val="es-CL"/>
        </w:rPr>
        <w:t>.</w:t>
      </w:r>
      <w:r w:rsidR="00342B99">
        <w:rPr>
          <w:lang w:val="es-CL"/>
        </w:rPr>
        <w:t xml:space="preserve"> El formato de la ponencia enviada es el formato aceptado. Cada autor es responsable por “copyright”, aspectos legales de publicación, así como la originalidad de la publicación.</w:t>
      </w:r>
    </w:p>
    <w:p w:rsidR="00713F47" w:rsidRDefault="00713F47" w:rsidP="007532CF">
      <w:pPr>
        <w:jc w:val="both"/>
        <w:rPr>
          <w:lang w:val="es-CL"/>
        </w:rPr>
      </w:pPr>
    </w:p>
    <w:p w:rsidR="00713F47" w:rsidRPr="008071D4" w:rsidRDefault="00366325" w:rsidP="007532CF">
      <w:pPr>
        <w:jc w:val="both"/>
        <w:rPr>
          <w:b/>
          <w:sz w:val="28"/>
          <w:lang w:val="es-CL"/>
        </w:rPr>
      </w:pPr>
      <w:r>
        <w:rPr>
          <w:lang w:val="es-CL"/>
        </w:rPr>
        <w:t>INFORMACIONES COMPLEMENTARIAS EN</w:t>
      </w:r>
      <w:r w:rsidRPr="00C53751">
        <w:rPr>
          <w:sz w:val="28"/>
          <w:lang w:val="es-CL"/>
        </w:rPr>
        <w:t>:</w:t>
      </w:r>
      <w:r w:rsidR="008071D4" w:rsidRPr="008071D4">
        <w:rPr>
          <w:b/>
          <w:sz w:val="28"/>
          <w:lang w:val="es-CL"/>
        </w:rPr>
        <w:t xml:space="preserve"> http://ubiobio.cl/clefa/</w:t>
      </w:r>
      <w:r w:rsidRPr="008071D4">
        <w:rPr>
          <w:b/>
          <w:sz w:val="28"/>
          <w:lang w:val="es-CL"/>
        </w:rPr>
        <w:t xml:space="preserve"> </w:t>
      </w:r>
    </w:p>
    <w:p w:rsidR="006A1A62" w:rsidRDefault="006A1A62" w:rsidP="007532CF">
      <w:pPr>
        <w:jc w:val="both"/>
        <w:rPr>
          <w:lang w:val="es-CL"/>
        </w:rPr>
      </w:pPr>
    </w:p>
    <w:p w:rsidR="006A1A62" w:rsidRDefault="006A1A62" w:rsidP="007532CF">
      <w:pPr>
        <w:jc w:val="both"/>
        <w:rPr>
          <w:lang w:val="es-CL"/>
        </w:rPr>
      </w:pPr>
    </w:p>
    <w:p w:rsidR="00713F47" w:rsidRDefault="00713F47" w:rsidP="007532CF">
      <w:pPr>
        <w:jc w:val="both"/>
        <w:rPr>
          <w:lang w:val="es-CL"/>
        </w:rPr>
      </w:pPr>
      <w:r>
        <w:rPr>
          <w:lang w:val="es-CL"/>
        </w:rPr>
        <w:t>INSCRIPCIONES Y PARTIC</w:t>
      </w:r>
      <w:r w:rsidR="00C1517F">
        <w:rPr>
          <w:lang w:val="es-CL"/>
        </w:rPr>
        <w:t>I</w:t>
      </w:r>
      <w:r>
        <w:rPr>
          <w:lang w:val="es-CL"/>
        </w:rPr>
        <w:t>PACION EN LA XXVII CLEFA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009"/>
        <w:gridCol w:w="2207"/>
        <w:gridCol w:w="2207"/>
      </w:tblGrid>
      <w:tr w:rsidR="00764583" w:rsidRPr="006E2C70" w:rsidTr="00B676B7">
        <w:tc>
          <w:tcPr>
            <w:tcW w:w="2405" w:type="dxa"/>
            <w:vAlign w:val="center"/>
          </w:tcPr>
          <w:p w:rsidR="00764583" w:rsidRPr="00F84A20" w:rsidRDefault="00764583" w:rsidP="00C253F9">
            <w:r w:rsidRPr="00F84A20">
              <w:t>Participantes</w:t>
            </w:r>
          </w:p>
        </w:tc>
        <w:tc>
          <w:tcPr>
            <w:tcW w:w="2009" w:type="dxa"/>
            <w:shd w:val="clear" w:color="auto" w:fill="FFCC99"/>
            <w:vAlign w:val="center"/>
          </w:tcPr>
          <w:p w:rsidR="00764583" w:rsidRPr="00F84A20" w:rsidRDefault="00764583" w:rsidP="00C253F9">
            <w:r w:rsidRPr="00F84A20">
              <w:t>Del 30 de Marzo  2018 al 30 de junio 2018</w:t>
            </w:r>
          </w:p>
        </w:tc>
        <w:tc>
          <w:tcPr>
            <w:tcW w:w="2207" w:type="dxa"/>
            <w:shd w:val="clear" w:color="auto" w:fill="FF7C80"/>
            <w:vAlign w:val="center"/>
          </w:tcPr>
          <w:p w:rsidR="00764583" w:rsidRPr="00F84A20" w:rsidRDefault="00764583" w:rsidP="00C253F9">
            <w:r w:rsidRPr="00F84A20">
              <w:t>Del 30 de Junio 2018 al 30 de septiembre 2018</w:t>
            </w:r>
          </w:p>
        </w:tc>
        <w:tc>
          <w:tcPr>
            <w:tcW w:w="2207" w:type="dxa"/>
            <w:shd w:val="clear" w:color="auto" w:fill="FF6600"/>
            <w:vAlign w:val="center"/>
          </w:tcPr>
          <w:p w:rsidR="00764583" w:rsidRPr="00F84A20" w:rsidRDefault="00764583" w:rsidP="00C253F9">
            <w:r w:rsidRPr="00F84A20">
              <w:t>Del 01 de Octubre  2018 al 06 de noviembre 2018</w:t>
            </w:r>
          </w:p>
        </w:tc>
      </w:tr>
      <w:tr w:rsidR="00764583" w:rsidRPr="00F84A20" w:rsidTr="00B676B7">
        <w:tc>
          <w:tcPr>
            <w:tcW w:w="2405" w:type="dxa"/>
            <w:shd w:val="clear" w:color="auto" w:fill="C2D69B" w:themeFill="accent3" w:themeFillTint="99"/>
          </w:tcPr>
          <w:p w:rsidR="00764583" w:rsidRPr="00F84A20" w:rsidRDefault="00764583" w:rsidP="00C253F9">
            <w:r w:rsidRPr="00F84A20">
              <w:t>Estudiantes Nacionales</w:t>
            </w:r>
          </w:p>
        </w:tc>
        <w:tc>
          <w:tcPr>
            <w:tcW w:w="2009" w:type="dxa"/>
          </w:tcPr>
          <w:p w:rsidR="00764583" w:rsidRPr="00F84A20" w:rsidRDefault="00764583" w:rsidP="00C253F9">
            <w:pPr>
              <w:ind w:right="342"/>
              <w:jc w:val="right"/>
            </w:pPr>
            <w:r w:rsidRPr="00F84A20">
              <w:t>US$80.00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422"/>
              <w:jc w:val="right"/>
            </w:pPr>
            <w:r w:rsidRPr="00F84A20">
              <w:t>US$100.00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503"/>
              <w:jc w:val="right"/>
            </w:pPr>
            <w:r w:rsidRPr="00F84A20">
              <w:t>US$120.00</w:t>
            </w:r>
          </w:p>
        </w:tc>
      </w:tr>
      <w:tr w:rsidR="00764583" w:rsidRPr="00F84A20" w:rsidTr="00B676B7">
        <w:tc>
          <w:tcPr>
            <w:tcW w:w="2405" w:type="dxa"/>
            <w:shd w:val="clear" w:color="auto" w:fill="C2D69B" w:themeFill="accent3" w:themeFillTint="99"/>
          </w:tcPr>
          <w:p w:rsidR="00764583" w:rsidRPr="00F84A20" w:rsidRDefault="00764583" w:rsidP="00C253F9">
            <w:r w:rsidRPr="00F84A20">
              <w:t>Académicos Nacionales</w:t>
            </w:r>
          </w:p>
        </w:tc>
        <w:tc>
          <w:tcPr>
            <w:tcW w:w="2009" w:type="dxa"/>
          </w:tcPr>
          <w:p w:rsidR="00764583" w:rsidRPr="00F84A20" w:rsidRDefault="00764583" w:rsidP="00C253F9">
            <w:pPr>
              <w:ind w:right="342"/>
              <w:jc w:val="right"/>
            </w:pPr>
            <w:r w:rsidRPr="00F84A20">
              <w:t>US$100.00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422"/>
              <w:jc w:val="right"/>
            </w:pPr>
            <w:r w:rsidRPr="00F84A20">
              <w:t>US$140.00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503"/>
              <w:jc w:val="right"/>
            </w:pPr>
            <w:r w:rsidRPr="00F84A20">
              <w:t>US$160.00</w:t>
            </w:r>
          </w:p>
        </w:tc>
      </w:tr>
      <w:tr w:rsidR="00764583" w:rsidRPr="00F84A20" w:rsidTr="00B676B7">
        <w:tc>
          <w:tcPr>
            <w:tcW w:w="2405" w:type="dxa"/>
            <w:shd w:val="clear" w:color="auto" w:fill="C2D69B" w:themeFill="accent3" w:themeFillTint="99"/>
          </w:tcPr>
          <w:p w:rsidR="00764583" w:rsidRPr="00F84A20" w:rsidRDefault="00764583" w:rsidP="00C253F9">
            <w:r w:rsidRPr="00F84A20">
              <w:t>Estudiantes Internacion</w:t>
            </w:r>
            <w:r w:rsidR="00C1517F">
              <w:t>a</w:t>
            </w:r>
            <w:r w:rsidRPr="00F84A20">
              <w:t>les</w:t>
            </w:r>
          </w:p>
        </w:tc>
        <w:tc>
          <w:tcPr>
            <w:tcW w:w="2009" w:type="dxa"/>
          </w:tcPr>
          <w:p w:rsidR="00764583" w:rsidRPr="00F84A20" w:rsidRDefault="00764583" w:rsidP="00C253F9">
            <w:pPr>
              <w:ind w:right="342"/>
              <w:jc w:val="right"/>
            </w:pPr>
            <w:r w:rsidRPr="00F84A20">
              <w:t>US$100.00</w:t>
            </w:r>
          </w:p>
        </w:tc>
        <w:tc>
          <w:tcPr>
            <w:tcW w:w="2207" w:type="dxa"/>
          </w:tcPr>
          <w:p w:rsidR="00764583" w:rsidRPr="00F84A20" w:rsidRDefault="009F405F" w:rsidP="00C253F9">
            <w:pPr>
              <w:ind w:right="422"/>
              <w:jc w:val="right"/>
            </w:pPr>
            <w:r>
              <w:t>US$12</w:t>
            </w:r>
            <w:r w:rsidR="00764583" w:rsidRPr="00F84A20">
              <w:t>0.00</w:t>
            </w:r>
          </w:p>
        </w:tc>
        <w:tc>
          <w:tcPr>
            <w:tcW w:w="2207" w:type="dxa"/>
          </w:tcPr>
          <w:p w:rsidR="00764583" w:rsidRPr="00F84A20" w:rsidRDefault="009F405F" w:rsidP="00C253F9">
            <w:pPr>
              <w:ind w:right="503"/>
              <w:jc w:val="right"/>
            </w:pPr>
            <w:r>
              <w:t>US$14</w:t>
            </w:r>
            <w:r w:rsidR="00764583" w:rsidRPr="00F84A20">
              <w:t>0.00</w:t>
            </w:r>
          </w:p>
        </w:tc>
      </w:tr>
      <w:tr w:rsidR="00764583" w:rsidRPr="00F84A20" w:rsidTr="00B676B7">
        <w:tc>
          <w:tcPr>
            <w:tcW w:w="2405" w:type="dxa"/>
            <w:shd w:val="clear" w:color="auto" w:fill="C2D69B" w:themeFill="accent3" w:themeFillTint="99"/>
          </w:tcPr>
          <w:p w:rsidR="00764583" w:rsidRPr="00F84A20" w:rsidRDefault="00764583" w:rsidP="00C253F9">
            <w:r w:rsidRPr="00F84A20">
              <w:t>Académicos Internacionales</w:t>
            </w:r>
          </w:p>
        </w:tc>
        <w:tc>
          <w:tcPr>
            <w:tcW w:w="2009" w:type="dxa"/>
          </w:tcPr>
          <w:p w:rsidR="00764583" w:rsidRPr="00F84A20" w:rsidRDefault="009F405F" w:rsidP="00C253F9">
            <w:pPr>
              <w:ind w:right="342"/>
              <w:jc w:val="right"/>
            </w:pPr>
            <w:r>
              <w:t>US$14</w:t>
            </w:r>
            <w:r w:rsidR="00764583" w:rsidRPr="00F84A20">
              <w:t>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422"/>
              <w:jc w:val="right"/>
            </w:pPr>
            <w:r w:rsidRPr="00F84A20">
              <w:t>US$160.00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503"/>
              <w:jc w:val="right"/>
            </w:pPr>
            <w:r w:rsidRPr="00F84A20">
              <w:t>US$180.00</w:t>
            </w:r>
          </w:p>
        </w:tc>
      </w:tr>
      <w:tr w:rsidR="00764583" w:rsidRPr="00F84A20" w:rsidTr="00B676B7">
        <w:tc>
          <w:tcPr>
            <w:tcW w:w="2405" w:type="dxa"/>
            <w:shd w:val="clear" w:color="auto" w:fill="C2D69B" w:themeFill="accent3" w:themeFillTint="99"/>
          </w:tcPr>
          <w:p w:rsidR="00764583" w:rsidRPr="00F84A20" w:rsidRDefault="00764583" w:rsidP="00C253F9">
            <w:r w:rsidRPr="00F84A20">
              <w:t>Académicos con Ponencias</w:t>
            </w:r>
          </w:p>
        </w:tc>
        <w:tc>
          <w:tcPr>
            <w:tcW w:w="2009" w:type="dxa"/>
          </w:tcPr>
          <w:p w:rsidR="00764583" w:rsidRPr="00F84A20" w:rsidRDefault="009F405F" w:rsidP="00C253F9">
            <w:pPr>
              <w:ind w:right="342"/>
              <w:jc w:val="right"/>
            </w:pPr>
            <w:r>
              <w:t>US$12</w:t>
            </w:r>
            <w:r w:rsidR="00764583" w:rsidRPr="00F84A20">
              <w:t>0.00</w:t>
            </w:r>
          </w:p>
        </w:tc>
        <w:tc>
          <w:tcPr>
            <w:tcW w:w="2207" w:type="dxa"/>
          </w:tcPr>
          <w:p w:rsidR="00764583" w:rsidRPr="00F84A20" w:rsidRDefault="009F405F" w:rsidP="00C253F9">
            <w:pPr>
              <w:ind w:right="422"/>
              <w:jc w:val="right"/>
            </w:pPr>
            <w:r>
              <w:t>US$13</w:t>
            </w:r>
            <w:r w:rsidR="00764583" w:rsidRPr="00F84A20">
              <w:t>0.00</w:t>
            </w:r>
          </w:p>
        </w:tc>
        <w:tc>
          <w:tcPr>
            <w:tcW w:w="2207" w:type="dxa"/>
          </w:tcPr>
          <w:p w:rsidR="00764583" w:rsidRPr="00F84A20" w:rsidRDefault="00764583" w:rsidP="00C253F9">
            <w:pPr>
              <w:ind w:right="503"/>
              <w:jc w:val="right"/>
            </w:pPr>
            <w:r w:rsidRPr="00F84A20">
              <w:t>US$140.00</w:t>
            </w:r>
          </w:p>
        </w:tc>
      </w:tr>
    </w:tbl>
    <w:p w:rsidR="00764583" w:rsidRDefault="00764583" w:rsidP="00764583">
      <w:bookmarkStart w:id="0" w:name="_GoBack"/>
      <w:bookmarkEnd w:id="0"/>
    </w:p>
    <w:p w:rsidR="00764583" w:rsidRDefault="00764583" w:rsidP="007532CF">
      <w:pPr>
        <w:jc w:val="both"/>
        <w:rPr>
          <w:lang w:val="es-CL"/>
        </w:rPr>
      </w:pPr>
    </w:p>
    <w:p w:rsidR="00FA59FB" w:rsidRDefault="00FA59FB" w:rsidP="007532CF">
      <w:pPr>
        <w:jc w:val="both"/>
        <w:rPr>
          <w:lang w:val="es-CL"/>
        </w:rPr>
      </w:pPr>
    </w:p>
    <w:p w:rsidR="00A86386" w:rsidRPr="00CF1F42" w:rsidRDefault="00A86386" w:rsidP="00D60E8F">
      <w:pPr>
        <w:jc w:val="both"/>
        <w:rPr>
          <w:b/>
          <w:lang w:val="es-CL"/>
        </w:rPr>
      </w:pPr>
    </w:p>
    <w:p w:rsidR="006C4819" w:rsidRPr="007E4765" w:rsidRDefault="006C4819" w:rsidP="00BE7A8F">
      <w:pPr>
        <w:spacing w:line="480" w:lineRule="auto"/>
        <w:jc w:val="both"/>
        <w:rPr>
          <w:lang w:val="es-CL"/>
        </w:rPr>
      </w:pPr>
    </w:p>
    <w:sectPr w:rsidR="006C4819" w:rsidRPr="007E4765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B0" w:rsidRDefault="002C31B0" w:rsidP="00A86386">
      <w:pPr>
        <w:spacing w:after="0" w:line="240" w:lineRule="auto"/>
      </w:pPr>
      <w:r>
        <w:separator/>
      </w:r>
    </w:p>
  </w:endnote>
  <w:endnote w:type="continuationSeparator" w:id="0">
    <w:p w:rsidR="002C31B0" w:rsidRDefault="002C31B0" w:rsidP="00A8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386" w:rsidRDefault="00581615">
    <w:pPr>
      <w:pStyle w:val="Piedepgina"/>
    </w:pPr>
    <w:r>
      <w:rPr>
        <w:noProof/>
      </w:rPr>
      <w:drawing>
        <wp:inline distT="0" distB="0" distL="0" distR="0" wp14:anchorId="467B4E22" wp14:editId="037146EC">
          <wp:extent cx="931418" cy="723900"/>
          <wp:effectExtent l="0" t="0" r="2540" b="0"/>
          <wp:docPr id="2" name="Imagen 2" descr="Resultado de imagen para logou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u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418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</w:t>
    </w:r>
    <w:r w:rsidRPr="00581615">
      <w:rPr>
        <w:noProof/>
      </w:rPr>
      <w:drawing>
        <wp:inline distT="0" distB="0" distL="0" distR="0" wp14:anchorId="7A3CFF33" wp14:editId="11174CD4">
          <wp:extent cx="600075" cy="715597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55" cy="71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</w:p>
  <w:p w:rsidR="00A86386" w:rsidRDefault="00A863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B0" w:rsidRDefault="002C31B0" w:rsidP="00A86386">
      <w:pPr>
        <w:spacing w:after="0" w:line="240" w:lineRule="auto"/>
      </w:pPr>
      <w:r>
        <w:separator/>
      </w:r>
    </w:p>
  </w:footnote>
  <w:footnote w:type="continuationSeparator" w:id="0">
    <w:p w:rsidR="002C31B0" w:rsidRDefault="002C31B0" w:rsidP="00A8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EB" w:rsidRDefault="002F44C6">
    <w:pPr>
      <w:pStyle w:val="Encabezado"/>
    </w:pPr>
    <w:r>
      <w:rPr>
        <w:noProof/>
      </w:rPr>
      <w:drawing>
        <wp:inline distT="0" distB="0" distL="0" distR="0" wp14:anchorId="6BCCAEFD">
          <wp:extent cx="914400" cy="468127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8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18EB" w:rsidRDefault="00B818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441"/>
    <w:multiLevelType w:val="hybridMultilevel"/>
    <w:tmpl w:val="B3B25C02"/>
    <w:lvl w:ilvl="0" w:tplc="2E828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6B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25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E9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00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0F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C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3A4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23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8F"/>
    <w:rsid w:val="000224B2"/>
    <w:rsid w:val="00037CC6"/>
    <w:rsid w:val="00053430"/>
    <w:rsid w:val="00162269"/>
    <w:rsid w:val="002C31B0"/>
    <w:rsid w:val="002F44C6"/>
    <w:rsid w:val="00342B99"/>
    <w:rsid w:val="00366325"/>
    <w:rsid w:val="0037117C"/>
    <w:rsid w:val="003724AC"/>
    <w:rsid w:val="0037678F"/>
    <w:rsid w:val="00557B30"/>
    <w:rsid w:val="00581615"/>
    <w:rsid w:val="00583691"/>
    <w:rsid w:val="00655DBA"/>
    <w:rsid w:val="0067348A"/>
    <w:rsid w:val="006A107D"/>
    <w:rsid w:val="006A1A62"/>
    <w:rsid w:val="006C4819"/>
    <w:rsid w:val="006E2C70"/>
    <w:rsid w:val="006F7EF0"/>
    <w:rsid w:val="00713F47"/>
    <w:rsid w:val="007532CF"/>
    <w:rsid w:val="00764583"/>
    <w:rsid w:val="0076549E"/>
    <w:rsid w:val="007A4A19"/>
    <w:rsid w:val="007E4765"/>
    <w:rsid w:val="008071D4"/>
    <w:rsid w:val="00812406"/>
    <w:rsid w:val="0083470A"/>
    <w:rsid w:val="0087335F"/>
    <w:rsid w:val="00882EBC"/>
    <w:rsid w:val="008D6F6D"/>
    <w:rsid w:val="009541E7"/>
    <w:rsid w:val="009F405F"/>
    <w:rsid w:val="00A33047"/>
    <w:rsid w:val="00A54AE0"/>
    <w:rsid w:val="00A86386"/>
    <w:rsid w:val="00AE5DC4"/>
    <w:rsid w:val="00B237E4"/>
    <w:rsid w:val="00B5032A"/>
    <w:rsid w:val="00B53D60"/>
    <w:rsid w:val="00B676B7"/>
    <w:rsid w:val="00B70A1A"/>
    <w:rsid w:val="00B74501"/>
    <w:rsid w:val="00B818EB"/>
    <w:rsid w:val="00BC3301"/>
    <w:rsid w:val="00BD0BA6"/>
    <w:rsid w:val="00BE7A8F"/>
    <w:rsid w:val="00C1517F"/>
    <w:rsid w:val="00C53751"/>
    <w:rsid w:val="00C63641"/>
    <w:rsid w:val="00C9044C"/>
    <w:rsid w:val="00C90C03"/>
    <w:rsid w:val="00CF1F42"/>
    <w:rsid w:val="00D04F2F"/>
    <w:rsid w:val="00D54BEF"/>
    <w:rsid w:val="00D60E8F"/>
    <w:rsid w:val="00DB59B4"/>
    <w:rsid w:val="00DF6ACF"/>
    <w:rsid w:val="00E06E0C"/>
    <w:rsid w:val="00E12F38"/>
    <w:rsid w:val="00E57268"/>
    <w:rsid w:val="00ED1252"/>
    <w:rsid w:val="00EF3134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8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386"/>
  </w:style>
  <w:style w:type="paragraph" w:styleId="Piedepgina">
    <w:name w:val="footer"/>
    <w:basedOn w:val="Normal"/>
    <w:link w:val="Piedepgina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386"/>
  </w:style>
  <w:style w:type="paragraph" w:styleId="Prrafodelista">
    <w:name w:val="List Paragraph"/>
    <w:basedOn w:val="Normal"/>
    <w:uiPriority w:val="34"/>
    <w:qFormat/>
    <w:rsid w:val="0002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6458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7B3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48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38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386"/>
  </w:style>
  <w:style w:type="paragraph" w:styleId="Piedepgina">
    <w:name w:val="footer"/>
    <w:basedOn w:val="Normal"/>
    <w:link w:val="PiedepginaCar"/>
    <w:uiPriority w:val="99"/>
    <w:unhideWhenUsed/>
    <w:rsid w:val="00A86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386"/>
  </w:style>
  <w:style w:type="paragraph" w:styleId="Prrafodelista">
    <w:name w:val="List Paragraph"/>
    <w:basedOn w:val="Normal"/>
    <w:uiPriority w:val="34"/>
    <w:qFormat/>
    <w:rsid w:val="00022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764583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7B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82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onenciasxxviiclef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FCA7-CF2E-4B4C-A760-F8FC583E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Adolfo Cartes Siade</dc:creator>
  <cp:lastModifiedBy>Ivan Adolfo Cartes Siade</cp:lastModifiedBy>
  <cp:revision>4</cp:revision>
  <cp:lastPrinted>2018-01-26T17:29:00Z</cp:lastPrinted>
  <dcterms:created xsi:type="dcterms:W3CDTF">2018-04-19T11:32:00Z</dcterms:created>
  <dcterms:modified xsi:type="dcterms:W3CDTF">2018-04-19T11:41:00Z</dcterms:modified>
</cp:coreProperties>
</file>